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FB351C">
        <w:rPr>
          <w:rFonts w:ascii="微软雅黑" w:eastAsia="微软雅黑" w:hAnsi="微软雅黑" w:hint="eastAsia"/>
          <w:b/>
          <w:sz w:val="24"/>
          <w:szCs w:val="24"/>
        </w:rPr>
        <w:t>在知惠科技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BA6648">
        <w:rPr>
          <w:rFonts w:ascii="微软雅黑" w:eastAsia="微软雅黑" w:hAnsi="微软雅黑"/>
          <w:b/>
          <w:sz w:val="24"/>
          <w:szCs w:val="24"/>
        </w:rPr>
        <w:t>N156BGA-EB2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="00362308">
        <w:rPr>
          <w:rFonts w:ascii="微软雅黑" w:eastAsia="微软雅黑" w:hAnsi="微软雅黑"/>
          <w:b/>
          <w:sz w:val="24"/>
          <w:szCs w:val="24"/>
        </w:rPr>
        <w:t>商规</w:t>
      </w:r>
      <w:r w:rsidR="00362308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="00362308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BA6648">
        <w:rPr>
          <w:rFonts w:ascii="微软雅黑" w:eastAsia="微软雅黑" w:hAnsi="微软雅黑"/>
          <w:b/>
          <w:sz w:val="24"/>
          <w:szCs w:val="24"/>
        </w:rPr>
        <w:t>N156BGA-EB2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FC5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BA6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N156BGA-EB2</w:t>
            </w:r>
          </w:p>
        </w:tc>
      </w:tr>
      <w:tr w:rsidR="00D20666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BA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 xml:space="preserve">0 ~ </w:t>
            </w:r>
            <w:r w:rsidR="00BA6648">
              <w:rPr>
                <w:rFonts w:ascii="微软雅黑" w:eastAsia="微软雅黑" w:hAnsi="微软雅黑"/>
              </w:rPr>
              <w:t>5</w:t>
            </w:r>
            <w:r w:rsidRPr="00DC7DDB">
              <w:rPr>
                <w:rFonts w:ascii="微软雅黑" w:eastAsia="微软雅黑" w:hAnsi="微软雅黑"/>
              </w:rPr>
              <w:t xml:space="preserve">0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47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-</w:t>
            </w:r>
            <w:r w:rsidR="0047789A">
              <w:rPr>
                <w:rFonts w:ascii="微软雅黑" w:eastAsia="微软雅黑" w:hAnsi="微软雅黑"/>
              </w:rPr>
              <w:t>2</w:t>
            </w:r>
            <w:r w:rsidRPr="00DC7DDB">
              <w:rPr>
                <w:rFonts w:ascii="微软雅黑" w:eastAsia="微软雅黑" w:hAnsi="微软雅黑"/>
              </w:rPr>
              <w:t xml:space="preserve">0 ~ </w:t>
            </w:r>
            <w:r w:rsidR="0047789A">
              <w:rPr>
                <w:rFonts w:ascii="微软雅黑" w:eastAsia="微软雅黑" w:hAnsi="微软雅黑"/>
              </w:rPr>
              <w:t>6</w:t>
            </w:r>
            <w:r w:rsidRPr="00DC7DDB">
              <w:rPr>
                <w:rFonts w:ascii="微软雅黑" w:eastAsia="微软雅黑" w:hAnsi="微软雅黑"/>
              </w:rPr>
              <w:t xml:space="preserve">0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="00362308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BA6648">
        <w:rPr>
          <w:rFonts w:ascii="微软雅黑" w:eastAsia="微软雅黑" w:hAnsi="微软雅黑" w:hint="eastAsia"/>
          <w:b/>
          <w:sz w:val="24"/>
          <w:szCs w:val="24"/>
        </w:rPr>
        <w:t>N156BGA-EB2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FC5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092F1F" w:rsidP="004778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</w:t>
            </w:r>
            <w:r w:rsidR="0047789A">
              <w:rPr>
                <w:rFonts w:ascii="微软雅黑" w:eastAsia="微软雅黑" w:hAnsi="微软雅黑"/>
              </w:rPr>
              <w:t>6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1366(RGB)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768 , WXGA</w:t>
            </w:r>
          </w:p>
        </w:tc>
      </w:tr>
      <w:tr w:rsidR="00327A13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0.084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0.252 mm (H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0.252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0.252 mm (H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A664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6648">
              <w:rPr>
                <w:rFonts w:ascii="微软雅黑" w:eastAsia="微软雅黑" w:hAnsi="微软雅黑"/>
              </w:rPr>
              <w:t>345/360g (Typ./Max.)</w:t>
            </w:r>
          </w:p>
        </w:tc>
      </w:tr>
      <w:tr w:rsidR="00327A13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BA664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6648">
              <w:rPr>
                <w:rFonts w:ascii="微软雅黑" w:eastAsia="微软雅黑" w:hAnsi="微软雅黑"/>
              </w:rPr>
              <w:t>344.232×193.536 mm (H×V)</w:t>
            </w:r>
          </w:p>
        </w:tc>
      </w:tr>
      <w:tr w:rsidR="00327A13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A6648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327A13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A664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6648">
              <w:rPr>
                <w:rFonts w:ascii="微软雅黑" w:eastAsia="微软雅黑" w:hAnsi="微软雅黑"/>
              </w:rPr>
              <w:t>359.5×223.8 mm (H×V)</w:t>
            </w:r>
          </w:p>
        </w:tc>
      </w:tr>
      <w:tr w:rsidR="009B5D33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BA664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6648">
              <w:rPr>
                <w:rFonts w:ascii="微软雅黑" w:eastAsia="微软雅黑" w:hAnsi="微软雅黑"/>
              </w:rPr>
              <w:t>3.0/3.2 (Typ.Max.)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="00362308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BA6648">
        <w:rPr>
          <w:rFonts w:ascii="微软雅黑" w:eastAsia="微软雅黑" w:hAnsi="微软雅黑" w:hint="eastAsia"/>
          <w:b/>
          <w:sz w:val="24"/>
          <w:szCs w:val="24"/>
        </w:rPr>
        <w:t>N156BGA-EB2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FC5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A664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6648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BA664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6648">
              <w:rPr>
                <w:rFonts w:ascii="微软雅黑" w:eastAsia="微软雅黑" w:hAnsi="微软雅黑"/>
              </w:rPr>
              <w:t>220 cd/m² (Typ.)</w:t>
            </w:r>
          </w:p>
        </w:tc>
      </w:tr>
      <w:tr w:rsidR="006B7CFF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0C054B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47789A" w:rsidRPr="0047789A">
              <w:rPr>
                <w:rFonts w:ascii="微软雅黑" w:eastAsia="微软雅黑" w:hAnsi="微软雅黑"/>
              </w:rPr>
              <w:t>00:1 (Typ.) (</w:t>
            </w:r>
            <w:r w:rsidR="0047789A" w:rsidRPr="0047789A">
              <w:rPr>
                <w:rFonts w:ascii="微软雅黑" w:eastAsia="微软雅黑" w:hAnsi="微软雅黑" w:hint="eastAsia"/>
              </w:rPr>
              <w:t>透射</w:t>
            </w:r>
            <w:r w:rsidR="0047789A" w:rsidRPr="0047789A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545CF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45CF4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545CF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45CF4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47789A" w:rsidP="000C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3/</w:t>
            </w:r>
            <w:r w:rsidR="00545CF4">
              <w:rPr>
                <w:rFonts w:ascii="微软雅黑" w:eastAsia="微软雅黑" w:hAnsi="微软雅黑"/>
              </w:rPr>
              <w:t>7</w:t>
            </w:r>
            <w:r w:rsidRPr="0047789A">
              <w:rPr>
                <w:rFonts w:ascii="微软雅黑" w:eastAsia="微软雅黑" w:hAnsi="微软雅黑"/>
              </w:rPr>
              <w:t xml:space="preserve"> (Typ.)(Tr/Td) ms</w:t>
            </w:r>
          </w:p>
        </w:tc>
      </w:tr>
      <w:tr w:rsidR="006B7CFF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545CF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45CF4">
              <w:rPr>
                <w:rFonts w:ascii="微软雅黑" w:eastAsia="微软雅黑" w:hAnsi="微软雅黑"/>
              </w:rPr>
              <w:t>45/45/20/45 (Typ.)(CR≥10)</w:t>
            </w:r>
          </w:p>
        </w:tc>
      </w:tr>
      <w:tr w:rsidR="006B7CFF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545CF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45CF4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="00362308">
        <w:rPr>
          <w:rFonts w:ascii="微软雅黑" w:eastAsia="微软雅黑" w:hAnsi="微软雅黑"/>
          <w:b/>
          <w:sz w:val="24"/>
          <w:szCs w:val="24"/>
        </w:rPr>
        <w:t>商规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BA6648">
        <w:rPr>
          <w:rFonts w:ascii="微软雅黑" w:eastAsia="微软雅黑" w:hAnsi="微软雅黑" w:hint="eastAsia"/>
          <w:b/>
          <w:sz w:val="24"/>
          <w:szCs w:val="24"/>
        </w:rPr>
        <w:t>N156BGA-EB2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FC5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370E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2949E1" w:rsidP="0029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</w:t>
            </w:r>
            <w:r w:rsidR="004370E5" w:rsidRPr="004370E5">
              <w:rPr>
                <w:rFonts w:ascii="微软雅黑" w:eastAsia="微软雅黑" w:hAnsi="微软雅黑"/>
              </w:rPr>
              <w:t>5K(Min.) (Hours)</w:t>
            </w:r>
          </w:p>
        </w:tc>
      </w:tr>
      <w:tr w:rsidR="008B1B8E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949E1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8B1B8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8B1B8E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2949E1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5.0/12.0/21.0V (Min./Typ./Max.)</w:t>
            </w:r>
          </w:p>
        </w:tc>
      </w:tr>
      <w:tr w:rsidR="008B1B8E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2949E1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159/200/213mA (Min./Typ./Max.)</w:t>
            </w:r>
          </w:p>
        </w:tc>
      </w:tr>
      <w:tr w:rsidR="008B1B8E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2949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2.55W (Typ.)</w:t>
            </w:r>
          </w:p>
        </w:tc>
      </w:tr>
      <w:tr w:rsidR="006B3DFC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2949E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6B3DFC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2949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/>
          <w:b/>
          <w:sz w:val="24"/>
          <w:szCs w:val="24"/>
        </w:rPr>
        <w:t>15.6寸</w:t>
      </w:r>
      <w:r w:rsidR="00362308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BA6648">
        <w:rPr>
          <w:rFonts w:ascii="微软雅黑" w:eastAsia="微软雅黑" w:hAnsi="微软雅黑" w:hint="eastAsia"/>
          <w:b/>
          <w:sz w:val="24"/>
          <w:szCs w:val="24"/>
        </w:rPr>
        <w:t>N156BGA-EB2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FC5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2949E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eDP (1 Lane)</w:t>
            </w:r>
          </w:p>
        </w:tc>
      </w:tr>
      <w:tr w:rsidR="00792AB8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2949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2949E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180/257mA (Typ./Max.)</w:t>
            </w:r>
          </w:p>
        </w:tc>
      </w:tr>
      <w:tr w:rsidR="00792AB8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2949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0.85W (Max.)</w:t>
            </w:r>
          </w:p>
        </w:tc>
      </w:tr>
      <w:tr w:rsidR="00792AB8" w:rsidTr="00FC56B7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2949E1" w:rsidP="000523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949E1">
              <w:rPr>
                <w:rFonts w:ascii="微软雅黑" w:eastAsia="微软雅黑" w:hAnsi="微软雅黑"/>
              </w:rPr>
              <w:t>20455-030E-12</w:t>
            </w:r>
            <w:r w:rsidR="006972A1">
              <w:rPr>
                <w:rFonts w:ascii="微软雅黑" w:eastAsia="微软雅黑" w:hAnsi="微软雅黑" w:hint="eastAsia"/>
              </w:rPr>
              <w:t>（</w:t>
            </w:r>
            <w:r w:rsidRPr="002949E1">
              <w:rPr>
                <w:rFonts w:ascii="微软雅黑" w:eastAsia="微软雅黑" w:hAnsi="微软雅黑"/>
              </w:rPr>
              <w:t>I-PEX</w:t>
            </w:r>
            <w:r w:rsidR="006972A1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FC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2949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4370E5" w:rsidRPr="004370E5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FC5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4370E5" w:rsidP="0005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6B7CFF" w:rsidRDefault="0050102C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35" w:rsidRDefault="00341A35" w:rsidP="00390E4A">
      <w:r>
        <w:separator/>
      </w:r>
    </w:p>
  </w:endnote>
  <w:endnote w:type="continuationSeparator" w:id="0">
    <w:p w:rsidR="00341A35" w:rsidRDefault="00341A35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35" w:rsidRDefault="00341A35" w:rsidP="00390E4A">
      <w:r>
        <w:separator/>
      </w:r>
    </w:p>
  </w:footnote>
  <w:footnote w:type="continuationSeparator" w:id="0">
    <w:p w:rsidR="00341A35" w:rsidRDefault="00341A35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523AF"/>
    <w:rsid w:val="0007312D"/>
    <w:rsid w:val="000756BB"/>
    <w:rsid w:val="00077188"/>
    <w:rsid w:val="00092F1F"/>
    <w:rsid w:val="000C054B"/>
    <w:rsid w:val="000F670E"/>
    <w:rsid w:val="00146F52"/>
    <w:rsid w:val="00153A5F"/>
    <w:rsid w:val="00215ECE"/>
    <w:rsid w:val="00217A37"/>
    <w:rsid w:val="00223F4C"/>
    <w:rsid w:val="0024182F"/>
    <w:rsid w:val="002531F5"/>
    <w:rsid w:val="00261EFE"/>
    <w:rsid w:val="002949E1"/>
    <w:rsid w:val="00295B46"/>
    <w:rsid w:val="002B327F"/>
    <w:rsid w:val="0030115F"/>
    <w:rsid w:val="00327A13"/>
    <w:rsid w:val="00341A35"/>
    <w:rsid w:val="00351215"/>
    <w:rsid w:val="00362308"/>
    <w:rsid w:val="003829CB"/>
    <w:rsid w:val="00390E4A"/>
    <w:rsid w:val="003A7F40"/>
    <w:rsid w:val="003B4686"/>
    <w:rsid w:val="003B5BD4"/>
    <w:rsid w:val="004061E2"/>
    <w:rsid w:val="00427D62"/>
    <w:rsid w:val="004370E5"/>
    <w:rsid w:val="0047789A"/>
    <w:rsid w:val="00487E7E"/>
    <w:rsid w:val="004B6804"/>
    <w:rsid w:val="004C1A03"/>
    <w:rsid w:val="004C545F"/>
    <w:rsid w:val="0050102C"/>
    <w:rsid w:val="00505B1E"/>
    <w:rsid w:val="00545CF4"/>
    <w:rsid w:val="00591DF2"/>
    <w:rsid w:val="005A78C2"/>
    <w:rsid w:val="005B0F94"/>
    <w:rsid w:val="005C6124"/>
    <w:rsid w:val="005F2F6D"/>
    <w:rsid w:val="00617759"/>
    <w:rsid w:val="00643094"/>
    <w:rsid w:val="0065732C"/>
    <w:rsid w:val="006972A1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846A67"/>
    <w:rsid w:val="00895632"/>
    <w:rsid w:val="008A1FFB"/>
    <w:rsid w:val="008B1B8E"/>
    <w:rsid w:val="008E1048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22A72"/>
    <w:rsid w:val="00A3242B"/>
    <w:rsid w:val="00A7247C"/>
    <w:rsid w:val="00AB7ED9"/>
    <w:rsid w:val="00AD40E7"/>
    <w:rsid w:val="00AD4569"/>
    <w:rsid w:val="00AF3DBE"/>
    <w:rsid w:val="00B2340C"/>
    <w:rsid w:val="00B57250"/>
    <w:rsid w:val="00B71D2A"/>
    <w:rsid w:val="00B815B6"/>
    <w:rsid w:val="00BA6648"/>
    <w:rsid w:val="00BB4873"/>
    <w:rsid w:val="00BD15A6"/>
    <w:rsid w:val="00BD46D9"/>
    <w:rsid w:val="00BF2647"/>
    <w:rsid w:val="00BF2B8B"/>
    <w:rsid w:val="00C06907"/>
    <w:rsid w:val="00C457B0"/>
    <w:rsid w:val="00C90541"/>
    <w:rsid w:val="00CA55D2"/>
    <w:rsid w:val="00CB3D2F"/>
    <w:rsid w:val="00CC70AA"/>
    <w:rsid w:val="00CE0EB7"/>
    <w:rsid w:val="00D1453C"/>
    <w:rsid w:val="00D20666"/>
    <w:rsid w:val="00D2631F"/>
    <w:rsid w:val="00D7458B"/>
    <w:rsid w:val="00DB0893"/>
    <w:rsid w:val="00DC326A"/>
    <w:rsid w:val="00DC7DDB"/>
    <w:rsid w:val="00DD1524"/>
    <w:rsid w:val="00DF4918"/>
    <w:rsid w:val="00E07BEE"/>
    <w:rsid w:val="00E13203"/>
    <w:rsid w:val="00E20F57"/>
    <w:rsid w:val="00E4106D"/>
    <w:rsid w:val="00E55522"/>
    <w:rsid w:val="00E83263"/>
    <w:rsid w:val="00E90EBB"/>
    <w:rsid w:val="00E914E4"/>
    <w:rsid w:val="00E976E6"/>
    <w:rsid w:val="00EA3BE6"/>
    <w:rsid w:val="00EB28E7"/>
    <w:rsid w:val="00ED100C"/>
    <w:rsid w:val="00EE448F"/>
    <w:rsid w:val="00EE4F22"/>
    <w:rsid w:val="00F069BA"/>
    <w:rsid w:val="00F17811"/>
    <w:rsid w:val="00F525F7"/>
    <w:rsid w:val="00F67A07"/>
    <w:rsid w:val="00FA4719"/>
    <w:rsid w:val="00FB351C"/>
    <w:rsid w:val="00FC35A3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DDB0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FC56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159</Words>
  <Characters>907</Characters>
  <Application>Microsoft Office Word</Application>
  <DocSecurity>0</DocSecurity>
  <Lines>7</Lines>
  <Paragraphs>2</Paragraphs>
  <ScaleCrop>false</ScaleCrop>
  <Company>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72</cp:revision>
  <dcterms:created xsi:type="dcterms:W3CDTF">2019-02-14T05:22:00Z</dcterms:created>
  <dcterms:modified xsi:type="dcterms:W3CDTF">2022-10-11T09:12:00Z</dcterms:modified>
</cp:coreProperties>
</file>